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rStyle w:val="Pogrubienie"/>
          <w:color w:val="000000"/>
          <w:szCs w:val="22"/>
        </w:rPr>
      </w:pP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rStyle w:val="Pogrubienie"/>
          <w:color w:val="000000"/>
          <w:szCs w:val="22"/>
        </w:rPr>
        <w:t>Badanie tomografii komputerowej z użyciem promieniowania jonizującego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 xml:space="preserve">W badaniu stosowane jest promieniowanie jonizujące, które powoduje napromieniowanie Pacjenta. Dawka promieniowania jest różna dla rożnych badań, lecz akceptowalna w diagnostyce. Wpływ promieniowania jonizującego na organizm nie jest obojętny. Z tego powodu badanie wykonywane jest wyłącznie ze wskazań medycznych. Skumulowane dawki promieniowania jonizującego mogą mieć działanie szkodliwe, jeśli wcześniej wykonywane były badania lub leczenie z użyciem promieniowania jonizującego. Alternatywą diagnostyki jest wykonanie rezonansu magnetycznego lub USG, lecz metody te mogą nie być optymalne do oceny danego schorzenia. </w:t>
      </w:r>
    </w:p>
    <w:p w:rsidR="00C85454" w:rsidRPr="00C85454" w:rsidRDefault="00C85454" w:rsidP="00C85454">
      <w:pPr>
        <w:pStyle w:val="Tekstpodstawowy"/>
        <w:spacing w:line="276" w:lineRule="auto"/>
        <w:ind w:left="163" w:right="206"/>
        <w:jc w:val="both"/>
        <w:rPr>
          <w:sz w:val="10"/>
          <w:szCs w:val="22"/>
        </w:rPr>
      </w:pP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rStyle w:val="Pogrubienie"/>
          <w:szCs w:val="22"/>
        </w:rPr>
        <w:t>Opis powikłań badania TK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>Względnym przeciwwskazaniem do badań z użyciem promieniowania jonizującego, w szczególności tomografii komputerowej jest ciąża, z uwagi na szkodliwy wpływ promieniowania na rozwój płodu i możliwość wystąpienia wad rozwojowych.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>Każda ekspozycja medyczna powoduje pochłonięcie określonej dawki promieniowania i niesie za sobą ryzyko uszkodzenia płodu oraz uszkodzenia narządów (m.in.: rogówki, gonad, tarczycy), może wystąpić wzrost ryzyka nowotworu.</w:t>
      </w:r>
    </w:p>
    <w:p w:rsidR="00C85454" w:rsidRPr="00C85454" w:rsidRDefault="00C85454" w:rsidP="00C85454">
      <w:pPr>
        <w:pStyle w:val="Tekstpodstawowy"/>
        <w:spacing w:line="276" w:lineRule="auto"/>
        <w:ind w:left="163" w:right="206"/>
        <w:jc w:val="both"/>
        <w:rPr>
          <w:sz w:val="10"/>
          <w:szCs w:val="22"/>
        </w:rPr>
      </w:pP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rStyle w:val="Pogrubienie"/>
          <w:szCs w:val="22"/>
        </w:rPr>
        <w:t>Badanie TK z użyciem środka kontrastowego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>O konieczności podania kontrastu decyduje lekarz radiolog nadzorujący badanie, na podstawie danych klinicznych ze skierowania, wywiadu oraz ewentualnych przeciwwskazań do podania kontrastu.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>Niektóre badania wymagają dożylnego podania środka kontrastowego dla</w:t>
      </w:r>
      <w:r w:rsidRPr="00C85454">
        <w:rPr>
          <w:spacing w:val="-2"/>
          <w:szCs w:val="22"/>
        </w:rPr>
        <w:t xml:space="preserve"> uzyskania optymalnej wartości diagnostycznej koniecznej dla postawienia prawidłowego rozpoznania.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>Środek kontrastowy w większości przypadków nie powoduje działań niepożądanych. U części osób mogą wystąpić łagodne reakcje niepożądane, takie jak: wysypka, nudności, wymioty, metaliczny posmak. Objawy te trwają zwykle do kilku minut i są leczone objawowo.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>W rzadkich przypadkach występują umiarkowane i ciężkie działania niepożądane, takie jak: uporczywe wymioty, uporczywa lub rozległa wysypka/ świąd/ pokrzywka skóry, chrypka, kaszel, kichanie, obfite pocenie się, uczucie ciepła, omdlenie, obrzęk twarzy, obrzęk krtani, skurcz oskrzeli, drgawki, obrzęk płuc, wstrząs, zatrzymanie oddechu czy zatrzymanie krążenia. Wymienione ciężkie o</w:t>
      </w:r>
      <w:r>
        <w:rPr>
          <w:szCs w:val="22"/>
        </w:rPr>
        <w:t xml:space="preserve">bjawy występują bardzo rzadko, </w:t>
      </w:r>
      <w:r w:rsidRPr="00C85454">
        <w:rPr>
          <w:szCs w:val="22"/>
        </w:rPr>
        <w:t>a personel medyczny jest przeszkolony w zakresie udzielania pierwszej pomocy.</w:t>
      </w:r>
    </w:p>
    <w:p w:rsidR="00C85454" w:rsidRPr="00C85454" w:rsidRDefault="00C85454" w:rsidP="00C85454">
      <w:pPr>
        <w:pStyle w:val="Tekstpodstawowy"/>
        <w:spacing w:line="276" w:lineRule="auto"/>
        <w:ind w:right="206"/>
        <w:jc w:val="both"/>
        <w:rPr>
          <w:szCs w:val="22"/>
        </w:rPr>
      </w:pPr>
      <w:r w:rsidRPr="00C85454">
        <w:rPr>
          <w:szCs w:val="22"/>
        </w:rPr>
        <w:t>Możliwe powikłania związane z dożylnym założeniem wenflonu lub wynaczynieniem środka kontrastowego poza żyłę obejmują m.</w:t>
      </w:r>
      <w:r>
        <w:rPr>
          <w:szCs w:val="22"/>
        </w:rPr>
        <w:t xml:space="preserve"> </w:t>
      </w:r>
      <w:r w:rsidRPr="00C85454">
        <w:rPr>
          <w:szCs w:val="22"/>
        </w:rPr>
        <w:t>in uszkodzenie naczynia krwionośnego, zatory i zakrzepy, rozwarstwienie naczynia, zmiany zapalne w miejscu wynaczynienia środka kontrastowego, bolesny obrzęk, w bardzo rzadkich przypadkach martwicę tkanek miękkich.</w:t>
      </w:r>
    </w:p>
    <w:p w:rsidR="00C85454" w:rsidRPr="00C85454" w:rsidRDefault="00C85454" w:rsidP="00C85454">
      <w:pPr>
        <w:pStyle w:val="Tekstpodstawowy"/>
        <w:spacing w:before="121" w:line="276" w:lineRule="auto"/>
        <w:ind w:right="217"/>
        <w:jc w:val="both"/>
        <w:rPr>
          <w:b/>
          <w:sz w:val="18"/>
        </w:rPr>
      </w:pPr>
      <w:r w:rsidRPr="00C85454">
        <w:rPr>
          <w:szCs w:val="22"/>
        </w:rPr>
        <w:t>Wszystkie występujące działania niepożądane należy niezwłocznie zgłosić personelowi. Po wykonanym badaniu z podaniem środka kontrastowego Pacjent pozostaje pod obserwacją na terenie Zakładu Diagnostyki Obrazowej przez 30 minut.</w:t>
      </w:r>
    </w:p>
    <w:p w:rsidR="00C85454" w:rsidRPr="00C85454" w:rsidRDefault="00C85454" w:rsidP="00C85454">
      <w:pPr>
        <w:rPr>
          <w:sz w:val="20"/>
        </w:rPr>
      </w:pPr>
    </w:p>
    <w:p w:rsidR="00D53D89" w:rsidRPr="00C85454" w:rsidRDefault="00D53D89" w:rsidP="00C85454">
      <w:pPr>
        <w:rPr>
          <w:sz w:val="20"/>
        </w:rPr>
      </w:pPr>
    </w:p>
    <w:sectPr w:rsidR="00D53D89" w:rsidRPr="00C85454" w:rsidSect="00C85454">
      <w:headerReference w:type="default" r:id="rId6"/>
      <w:pgSz w:w="11906" w:h="16838"/>
      <w:pgMar w:top="567" w:right="566" w:bottom="280" w:left="709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F4" w:rsidRDefault="00F27BF4" w:rsidP="00D53D89">
      <w:r>
        <w:separator/>
      </w:r>
    </w:p>
  </w:endnote>
  <w:endnote w:type="continuationSeparator" w:id="1">
    <w:p w:rsidR="00F27BF4" w:rsidRDefault="00F27BF4" w:rsidP="00D5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F4" w:rsidRDefault="00F27BF4" w:rsidP="00D53D89">
      <w:r>
        <w:separator/>
      </w:r>
    </w:p>
  </w:footnote>
  <w:footnote w:type="continuationSeparator" w:id="1">
    <w:p w:rsidR="00F27BF4" w:rsidRDefault="00F27BF4" w:rsidP="00D53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89" w:rsidRDefault="00D53D89">
    <w:pPr>
      <w:pStyle w:val="Header"/>
    </w:pPr>
  </w:p>
  <w:tbl>
    <w:tblPr>
      <w:tblStyle w:val="TableNormal"/>
      <w:tblW w:w="10776" w:type="dxa"/>
      <w:tblInd w:w="65" w:type="dxa"/>
      <w:tblLayout w:type="fixed"/>
      <w:tblCellMar>
        <w:left w:w="5" w:type="dxa"/>
        <w:right w:w="5" w:type="dxa"/>
      </w:tblCellMar>
      <w:tblLook w:val="01E0"/>
    </w:tblPr>
    <w:tblGrid>
      <w:gridCol w:w="3548"/>
      <w:gridCol w:w="3541"/>
      <w:gridCol w:w="3687"/>
    </w:tblGrid>
    <w:tr w:rsidR="00D53D89">
      <w:trPr>
        <w:trHeight w:val="1440"/>
      </w:trPr>
      <w:tc>
        <w:tcPr>
          <w:tcW w:w="1077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53D89" w:rsidRDefault="00657200">
          <w:pPr>
            <w:pStyle w:val="TableParagraph"/>
            <w:spacing w:before="55"/>
            <w:ind w:left="1085" w:right="988" w:hanging="7"/>
            <w:jc w:val="center"/>
            <w:rPr>
              <w:b/>
            </w:rPr>
          </w:pPr>
          <w:r>
            <w:rPr>
              <w:noProof/>
              <w:lang w:eastAsia="pl-PL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95250</wp:posOffset>
                </wp:positionV>
                <wp:extent cx="426085" cy="548640"/>
                <wp:effectExtent l="0" t="0" r="0" b="0"/>
                <wp:wrapNone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47625</wp:posOffset>
                </wp:positionV>
                <wp:extent cx="452120" cy="548640"/>
                <wp:effectExtent l="0" t="0" r="0" b="0"/>
                <wp:wrapSquare wrapText="largest"/>
                <wp:docPr id="2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6" t="8039" r="-16" b="70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>F.DO.1</w:t>
          </w:r>
          <w:r w:rsidR="00E61C53">
            <w:rPr>
              <w:b/>
            </w:rPr>
            <w:t>b</w:t>
          </w:r>
          <w:r>
            <w:rPr>
              <w:b/>
            </w:rPr>
            <w:t xml:space="preserve"> </w:t>
          </w:r>
          <w:r w:rsidR="00C85454">
            <w:rPr>
              <w:b/>
            </w:rPr>
            <w:t>INFORMACJA</w:t>
          </w:r>
          <w:r>
            <w:rPr>
              <w:b/>
            </w:rPr>
            <w:t xml:space="preserve"> DLA PACJENT</w:t>
          </w:r>
          <w:r w:rsidR="00C85454">
            <w:rPr>
              <w:b/>
            </w:rPr>
            <w:t>A</w:t>
          </w:r>
        </w:p>
        <w:p w:rsidR="00D53D89" w:rsidRDefault="00657200">
          <w:pPr>
            <w:pStyle w:val="TableParagraph"/>
            <w:spacing w:before="55"/>
            <w:ind w:left="1085" w:right="988" w:hanging="7"/>
            <w:jc w:val="center"/>
            <w:rPr>
              <w:b/>
            </w:rPr>
          </w:pPr>
          <w:r>
            <w:rPr>
              <w:b/>
            </w:rPr>
            <w:t>PRZED BADANIEM TOMOGRAFII KOMPUTEROWEJ</w:t>
          </w:r>
        </w:p>
        <w:p w:rsidR="00D53D89" w:rsidRDefault="00657200">
          <w:pPr>
            <w:pStyle w:val="TableParagraph"/>
            <w:spacing w:before="64" w:line="207" w:lineRule="exact"/>
            <w:ind w:left="1602" w:right="1511"/>
            <w:jc w:val="center"/>
            <w:rPr>
              <w:sz w:val="18"/>
            </w:rPr>
          </w:pPr>
          <w:r>
            <w:rPr>
              <w:sz w:val="18"/>
            </w:rPr>
            <w:t>SAMODZIELNYPUBLICZNYZAKŁADOPIEKI</w:t>
          </w:r>
          <w:r>
            <w:rPr>
              <w:spacing w:val="-2"/>
              <w:sz w:val="18"/>
            </w:rPr>
            <w:t>ZDROWOTNEJ</w:t>
          </w:r>
        </w:p>
        <w:p w:rsidR="00D53D89" w:rsidRDefault="00657200">
          <w:pPr>
            <w:pStyle w:val="TableParagraph"/>
            <w:spacing w:before="0" w:line="208" w:lineRule="exact"/>
            <w:ind w:left="1602" w:right="1509"/>
            <w:jc w:val="center"/>
            <w:rPr>
              <w:sz w:val="18"/>
            </w:rPr>
          </w:pPr>
          <w:r>
            <w:rPr>
              <w:sz w:val="18"/>
            </w:rPr>
            <w:t>Ministerstwa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Spraw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Wewnętrznych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i Administracji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w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Poznaniu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im.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prof.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Ludwika</w:t>
          </w:r>
          <w:r w:rsidR="00504499">
            <w:rPr>
              <w:sz w:val="18"/>
            </w:rPr>
            <w:t xml:space="preserve"> </w:t>
          </w:r>
          <w:r>
            <w:rPr>
              <w:sz w:val="18"/>
            </w:rPr>
            <w:t>Bierkowskiego ul. Dojazd 34, 60-631 Poznań</w:t>
          </w:r>
        </w:p>
      </w:tc>
    </w:tr>
    <w:tr w:rsidR="00D53D89">
      <w:trPr>
        <w:trHeight w:val="395"/>
      </w:trPr>
      <w:tc>
        <w:tcPr>
          <w:tcW w:w="3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53D89" w:rsidRDefault="00657200">
          <w:pPr>
            <w:pStyle w:val="TableParagraph"/>
            <w:spacing w:before="49" w:line="194" w:lineRule="exact"/>
            <w:ind w:left="11"/>
            <w:jc w:val="center"/>
            <w:rPr>
              <w:sz w:val="18"/>
            </w:rPr>
          </w:pPr>
          <w:r>
            <w:rPr>
              <w:sz w:val="18"/>
            </w:rPr>
            <w:t>Wydanie</w:t>
          </w:r>
          <w:r w:rsidR="00504499">
            <w:rPr>
              <w:spacing w:val="-10"/>
              <w:sz w:val="18"/>
            </w:rPr>
            <w:t xml:space="preserve"> 5</w:t>
          </w:r>
        </w:p>
      </w:tc>
      <w:tc>
        <w:tcPr>
          <w:tcW w:w="3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53D89" w:rsidRDefault="00657200" w:rsidP="00504499">
          <w:pPr>
            <w:pStyle w:val="TableParagraph"/>
            <w:spacing w:before="49" w:line="194" w:lineRule="exact"/>
            <w:ind w:left="78"/>
            <w:jc w:val="center"/>
            <w:rPr>
              <w:sz w:val="18"/>
            </w:rPr>
          </w:pPr>
          <w:r>
            <w:rPr>
              <w:sz w:val="18"/>
            </w:rPr>
            <w:t xml:space="preserve">Obowiązuje </w:t>
          </w:r>
          <w:r w:rsidR="00504499">
            <w:rPr>
              <w:sz w:val="18"/>
            </w:rPr>
            <w:t>09.06</w:t>
          </w:r>
          <w:r>
            <w:rPr>
              <w:sz w:val="18"/>
            </w:rPr>
            <w:t>.2025</w:t>
          </w:r>
        </w:p>
      </w:tc>
      <w:tc>
        <w:tcPr>
          <w:tcW w:w="3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53D89" w:rsidRDefault="00657200">
          <w:pPr>
            <w:pStyle w:val="TableParagraph"/>
            <w:spacing w:before="49" w:line="194" w:lineRule="exact"/>
            <w:ind w:left="13"/>
            <w:jc w:val="center"/>
            <w:rPr>
              <w:sz w:val="18"/>
            </w:rPr>
          </w:pPr>
          <w:r>
            <w:rPr>
              <w:sz w:val="18"/>
            </w:rPr>
            <w:t>Strona</w:t>
          </w:r>
          <w:r w:rsidR="00A54672">
            <w:rPr>
              <w:spacing w:val="-5"/>
              <w:sz w:val="18"/>
            </w:rPr>
            <w:fldChar w:fldCharType="begin"/>
          </w:r>
          <w:r>
            <w:rPr>
              <w:spacing w:val="-5"/>
              <w:sz w:val="18"/>
            </w:rPr>
            <w:instrText>PAGE</w:instrText>
          </w:r>
          <w:r w:rsidR="00A54672">
            <w:rPr>
              <w:spacing w:val="-5"/>
              <w:sz w:val="18"/>
            </w:rPr>
            <w:fldChar w:fldCharType="separate"/>
          </w:r>
          <w:r w:rsidR="00A85A8F">
            <w:rPr>
              <w:noProof/>
              <w:spacing w:val="-5"/>
              <w:sz w:val="18"/>
            </w:rPr>
            <w:t>1</w:t>
          </w:r>
          <w:r w:rsidR="00A54672">
            <w:rPr>
              <w:spacing w:val="-5"/>
              <w:sz w:val="18"/>
            </w:rPr>
            <w:fldChar w:fldCharType="end"/>
          </w:r>
          <w:r>
            <w:rPr>
              <w:spacing w:val="-5"/>
              <w:sz w:val="18"/>
            </w:rPr>
            <w:t>/</w:t>
          </w:r>
          <w:r w:rsidR="00A54672">
            <w:rPr>
              <w:spacing w:val="-5"/>
              <w:sz w:val="18"/>
            </w:rPr>
            <w:fldChar w:fldCharType="begin"/>
          </w:r>
          <w:r>
            <w:rPr>
              <w:spacing w:val="-5"/>
              <w:sz w:val="18"/>
            </w:rPr>
            <w:instrText>NUMPAGES</w:instrText>
          </w:r>
          <w:r w:rsidR="00A54672">
            <w:rPr>
              <w:spacing w:val="-5"/>
              <w:sz w:val="18"/>
            </w:rPr>
            <w:fldChar w:fldCharType="separate"/>
          </w:r>
          <w:r w:rsidR="00A85A8F">
            <w:rPr>
              <w:noProof/>
              <w:spacing w:val="-5"/>
              <w:sz w:val="18"/>
            </w:rPr>
            <w:t>1</w:t>
          </w:r>
          <w:r w:rsidR="00A54672">
            <w:rPr>
              <w:spacing w:val="-5"/>
              <w:sz w:val="18"/>
            </w:rPr>
            <w:fldChar w:fldCharType="end"/>
          </w:r>
        </w:p>
      </w:tc>
    </w:tr>
  </w:tbl>
  <w:p w:rsidR="00D53D89" w:rsidRDefault="00657200">
    <w:pPr>
      <w:pStyle w:val="Header"/>
      <w:tabs>
        <w:tab w:val="clear" w:pos="4536"/>
        <w:tab w:val="clear" w:pos="9072"/>
        <w:tab w:val="left" w:pos="4236"/>
      </w:tabs>
      <w:rPr>
        <w:sz w:val="8"/>
      </w:rPr>
    </w:pPr>
    <w:r>
      <w:rPr>
        <w:sz w:val="8"/>
      </w:rPr>
      <w:tab/>
    </w:r>
  </w:p>
  <w:p w:rsidR="00D53D89" w:rsidRDefault="00D53D89">
    <w:pPr>
      <w:pStyle w:val="Tekstpodstawowy"/>
      <w:spacing w:line="9" w:lineRule="auto"/>
      <w:rPr>
        <w:sz w:val="2"/>
      </w:rPr>
    </w:pPr>
  </w:p>
  <w:p w:rsidR="00D53D89" w:rsidRDefault="00D53D89">
    <w:pPr>
      <w:pStyle w:val="Tekstpodstawowy"/>
      <w:spacing w:line="9" w:lineRule="auto"/>
      <w:rPr>
        <w:sz w:val="2"/>
      </w:rPr>
    </w:pPr>
  </w:p>
  <w:p w:rsidR="00D53D89" w:rsidRDefault="00D53D89">
    <w:pPr>
      <w:pStyle w:val="Tekstpodstawowy"/>
      <w:spacing w:line="9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D89"/>
    <w:rsid w:val="00241595"/>
    <w:rsid w:val="0025468E"/>
    <w:rsid w:val="00504499"/>
    <w:rsid w:val="005652C8"/>
    <w:rsid w:val="00657200"/>
    <w:rsid w:val="00725D6D"/>
    <w:rsid w:val="00770026"/>
    <w:rsid w:val="007C4EEE"/>
    <w:rsid w:val="008643B7"/>
    <w:rsid w:val="0096580A"/>
    <w:rsid w:val="00A54672"/>
    <w:rsid w:val="00A85A8F"/>
    <w:rsid w:val="00C85454"/>
    <w:rsid w:val="00CE3B50"/>
    <w:rsid w:val="00D53D89"/>
    <w:rsid w:val="00E61C53"/>
    <w:rsid w:val="00F27BF4"/>
    <w:rsid w:val="00F9740F"/>
    <w:rsid w:val="00FB66AA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6FD5"/>
    <w:pPr>
      <w:widowControl w:val="0"/>
    </w:pPr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3C8E"/>
    <w:rPr>
      <w:rFonts w:ascii="Arial" w:eastAsia="Arial" w:hAnsi="Arial" w:cs="Arial"/>
      <w:lang w:val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363C8E"/>
    <w:rPr>
      <w:rFonts w:ascii="Arial" w:eastAsia="Arial" w:hAnsi="Arial" w:cs="Arial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2290"/>
    <w:rPr>
      <w:rFonts w:ascii="Tahoma" w:eastAsia="Arial" w:hAnsi="Tahoma" w:cs="Tahoma"/>
      <w:sz w:val="16"/>
      <w:szCs w:val="16"/>
      <w:lang w:val="pl-PL"/>
    </w:rPr>
  </w:style>
  <w:style w:type="character" w:styleId="Pogrubienie">
    <w:name w:val="Strong"/>
    <w:qFormat/>
    <w:rsid w:val="00810024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D53D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7A6FD5"/>
    <w:rPr>
      <w:sz w:val="20"/>
      <w:szCs w:val="20"/>
    </w:rPr>
  </w:style>
  <w:style w:type="paragraph" w:styleId="Lista">
    <w:name w:val="List"/>
    <w:basedOn w:val="Tekstpodstawowy"/>
    <w:rsid w:val="00D53D89"/>
    <w:rPr>
      <w:rFonts w:cs="Lucida Sans"/>
    </w:rPr>
  </w:style>
  <w:style w:type="paragraph" w:customStyle="1" w:styleId="Caption">
    <w:name w:val="Caption"/>
    <w:basedOn w:val="Normalny"/>
    <w:qFormat/>
    <w:rsid w:val="00D53D8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53D8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rsid w:val="007A6FD5"/>
  </w:style>
  <w:style w:type="paragraph" w:customStyle="1" w:styleId="TableParagraph">
    <w:name w:val="Table Paragraph"/>
    <w:basedOn w:val="Normalny"/>
    <w:qFormat/>
    <w:rsid w:val="007A6FD5"/>
    <w:pPr>
      <w:spacing w:before="94"/>
    </w:pPr>
  </w:style>
  <w:style w:type="paragraph" w:customStyle="1" w:styleId="Gwkaistopka">
    <w:name w:val="Główka i stopka"/>
    <w:basedOn w:val="Normalny"/>
    <w:qFormat/>
    <w:rsid w:val="00D53D89"/>
  </w:style>
  <w:style w:type="paragraph" w:customStyle="1" w:styleId="Header">
    <w:name w:val="Header"/>
    <w:basedOn w:val="Normalny"/>
    <w:link w:val="NagwekZnak"/>
    <w:uiPriority w:val="99"/>
    <w:unhideWhenUsed/>
    <w:rsid w:val="00363C8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363C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229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823CE7"/>
    <w:pPr>
      <w:widowControl/>
      <w:suppressLineNumbers/>
    </w:pPr>
    <w:rPr>
      <w:rFonts w:ascii="Calibri" w:eastAsia="Calibri" w:hAnsi="Calibri"/>
      <w:sz w:val="20"/>
      <w:szCs w:val="20"/>
      <w:lang w:eastAsia="zh-CN" w:bidi="hi-IN"/>
    </w:rPr>
  </w:style>
  <w:style w:type="paragraph" w:customStyle="1" w:styleId="Nagwektabeli">
    <w:name w:val="Nagłówek tabeli"/>
    <w:basedOn w:val="Zawartotabeli"/>
    <w:qFormat/>
    <w:rsid w:val="00D53D8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5044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04499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mmajor</dc:creator>
  <dc:description/>
  <cp:lastModifiedBy>akosciesza</cp:lastModifiedBy>
  <cp:revision>13</cp:revision>
  <cp:lastPrinted>2025-06-10T07:45:00Z</cp:lastPrinted>
  <dcterms:created xsi:type="dcterms:W3CDTF">2025-05-20T19:33:00Z</dcterms:created>
  <dcterms:modified xsi:type="dcterms:W3CDTF">2025-06-10T07:45:00Z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2024-06-16T00:00:00Z</vt:filetime>
  </property>
  <property fmtid="{D5CDD505-2E9C-101B-9397-08002B2CF9AE}" pid="5" name="Producer">
    <vt:lpwstr>Microsoft® Office Word 2007</vt:lpwstr>
  </property>
</Properties>
</file>